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«Российский национальный коммерческий банк» (далее – Банк) обратилось в Арбитражный суд Республики Крым с иском к автономной некоммерческой организации «Фонд защиты вкладчиков» (далее – Фонд) о взыскании 3 542 597 рублей 85 копеек неосновательного обогащения, 242 576 рублей 90 копеек процентов за пользование чужими денежными средствами за период с 28.12.2017 по 31.03.2019 с их последующим начислением по день фактической уплаты долга, 1 860 401 рубля 08 копеек убытков, понесенных за хранение имущества за период с 01.01.2018 по 01.07.2019, а также понуждении ответчика принять находящиеся у истца на основании прекращенного договора аренды движимого имущества от 30.04.2014 № 26дф 2014-0007/1.2ДУ объекты аренды в количестве 774 единиц согласно приложения к иску. 2 Определением от 13.08.2020 суд объединил в одно производство настоящее дело и дело № А83-10088/2020 по иску Фонда к Банку о взыскании 4 202 820 рублей задолженности по арендной плате по договору аренды движимого имущества от 30.04.2014 № 26дф 2014-0007/1.2ДУ и 129 827 рублей 66 копеек пени. К участию в деле в качестве третьих лиц, не заявляющих самостоятельных требований относительно предмета спора, привлечены Управление по исполнению особо важных исполнительных производств Федеральной службы судебных приставов России, Межрайонное отделение судебных приставов по исполнению особых исполнительных производств Управления Федеральной службы судебных приставов по Республике Крым, акционерное общество Коммерческий банк «ПриватБанк». Решением Арбитражного суда Республики Крым от 29.06.2021, оставленным без изменения постановлением Двадцать первого арбитражного апелляционного суда от 18.10.2021 и постановлением Арбитражного суда Центрального округа от 22.02.2022, в иске Банка отказано; требования Фонда удовлетворены; распределены судебные расходы.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Банком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публичного акционерного общества «Российский национальный коммерческий банк». Срок подачи кассационной жалобы на решение Арбитражного суда Республики Крым от 29.06.2021, постановление Двадцать первого арбитражного апелляционного суда от 18.10.2021 и постановление Арбитражного суда Центрального округа от 22.02.2022 по делу № А83-12881/2019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