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22.09.2021, оставленным без изменения постановлениями Одиннадцатого арбитражного апелляционного суда от 08.12.2021 и Арбитражного суда Поволжского округа от 24.02.2022, исковые требования удовлетворены частично, с общества в пользу учреждения взыскано 4 035 рублей 07 копеек пеней. В удовлетворении остальной части исковых требований отказано. В кассационной жалобе, поданной в Верховный Суд Российской Федерации, учреждение ставит вопрос об отмене принятых по делу судебных актов в части отказа в удовлетворении иска,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обществом (подрядчик) и учреждением (заказчик) заключен государственный контракт на выполнение работ по капитальному ремонту режимного корпуса. В обоснование исковых требований учреждение указывает, что при проведении контрольных обмеров в ходе ревизии финансово-хозяйственной деятельности выявлены расхождения по оплаченным работам: обществом не выполнены оплаченные заказчиком работы на сумму 52 669 рублей 39 копеек; просрочено исполнение обязательств по контракту. Оценив представленные в материалы дела доказательства, суды, руководствуясь положениями статей 408, 720, 753, 1102, 1103 Гражданского кодекса Российской Федерации, учитывая разъяснения, изложенные в пунктах 12, 13 информационного письма Президиума Высшего Арбитражного Суда Российской Федерации от 24.01.2000 № 51 «Обзор практики разрешения споров по договору строительного подряда», пришли к выводу о наличии оснований для удовлетворения иска в части взыскания 4 305 рублей 42 копеек неустойки за просрочку выполнения работ по контракту за период с 01.10.2019 по 31.10.2019. Признавая необоснованным требование учреждения о взыскании с общества неосновательного обогащения в размере 52 669 рублей 39 копеек, судебные инстанции исходили из надлежащего выполнения подрядчиком работ на спорную сумму, их принятия заказчиком без замечаний и оплаты в полном объеме. При этом суды указали, что составленный ревизионной комиссией учреждения акт обмеров не является надлежащим доказательством, подтверждающим факт завышения ответчиком объема и стоимости выполненных работ по контракту, поскольку контрактом оформление такого акта для определения объема и стоимости фактически выполненных работ после их приемки не предусмотрено; акт содержит оценочные сведения и выводы, для подготовки которых необходимо обладать специальными познаниями (квалификация лиц, принимавших участие в подготовке акта, как обладающих специальными познаниями, документально не подтверждена; отсутствуют сведения о методах, используемых при составлении этого акта); требования о завышении объемов и стоимости выполненных работ 3 предъявлены спустя более одиннадцати месяцев после приемки выполненных работ. Выводы судов в отношении неустойки учреждением не оспариваются. Доводы кассационной жалобы не подтверждают существенных нарушений норм материального права и норм процессуального права, повлиявших на исход дела. Несогласие заявителя с выводами судов, иная оценка им фактических обстоятельств дела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«Тюрьма Управления Федеральной службы исполнения наказаний по Ульяновской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