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08.10.2021, оставленным без изменения постановлением Девятого арбитражного апелляционного суда от 24.11.2021 и постановлением Арбитражного суда Московского округа от 28.02.2022, с общества в пользу организации взыскано 192 723 руб. неустойки, в удовлетворении остальной части иска отказано. В кассационной жалобе и дополнении к ней, поданных в Верховный Суд Российской Федерации, организация ссылается на неправильное применение судами норм права.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и частично удовлетворяя исковые требования, суды первой и апелляционной инстанции руководствовались положениями Закона Российской Федерации от 07.02.1992 № 2300-1 «О защите прав потребителей» и,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нарушения обществом срока возмещения расходов на устранение недостатков квартиры, пришли к выводу о наличии оснований для взыскания с него неустойки, снизив ее размер по правилам статьи 333 Гражданского кодекса Российской Федерации ввиду несоразмерности последствиям нарушенного обязательства. Суд округа, рассмотрев кассационную жалобу организации, не установил нарушений норм процессуального права, являющихся в силу части 4 статьи 288 Арбитражного процессуального кодекса Российской Федерации основаниями для отмены обжалуемых судебных актов.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региональной общественной организации инвалидов «Отрада»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