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15.07.2020 иск удовлетворен. Тринадцатый арбитражный апелляционный суд определением от 07.10.2020 перешел к рассмотрению дела по правилам суда первой инстанции,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«Петрострой Ритм». Постановлением Тринадцатого арбитражного апелляционного суда от 13.10.2021 решение суда первой инстанции отменено, в удовлетворении иска отказано. Арбитражный суд Северо-Западного округа постановлением от 24.01.2022 оставил без изменения постановление суда апелляционной инстанции.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несоответствие их выводов фактическим обстоятельствам дела, просит отменить постановления от 13.10.2021, 2 от 24.01.2022 и направить дело на новое рассмотрение в Тринадцатый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выводы судебной экспертизы, руководствуясь статьями 8, 309, 310, 702, 711, 746, 753 Гражданского кодекса Российской Федерации, суд апелляционной инстанции пришел к выводу об отсутствии оснований для удовлетворения иска, исходя из недоказанности обществом (субподрядчик) фактического выполнения им спорных работ, их объема и стоимости, равно как предъявления их к приемке компании (подрядчик). Суд округа поддержал выводы суда апелляционной инстанции, мотивированно отклонив возражения заявителя.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«ПСК 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