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02.11.2020 первоначальные исковые требования удовлетворены полностью, в удовлетворении встречного иска отказано. Постановлением Девятнадцатого арбитражного апелляционного суда от 23.11.2021, оставленным без изменения постановлением Арбитражного суда Центрального округа от 01.03.2022, решение отменено в части удовлетворения первоначального иска и в его удовлетворении отказано. В кассационной жалобе общество «Ведуга» просит об отмене судебных актов апелляционного и окружного судов, ссылаясь на ненадлежащие исследование и оценку доказательств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Постановление апелляционного суда соответствует обстоятельствам исполнения сторонами договора оказания транспортных услуг от 17.04.2017 и статьям 779 , 781 Гражданского кодекса Российской Федерации. Срок на апелляционное обжалование решения восстановлен апелляционным судом в пределах имеющейся компетенции, применение которой в кассационном порядке пересмотру не подлежит.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«Ведуга»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