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09.09.2021, оставленным без изменения постановлением Восьмого арбитражного апелляционного суда от 07.12.2021, жалобы частично удовлетворены. Арбитражный суд Западно-Сибирского округа постановлением от 17.02.2022 определение от 09.09.2021 и постановление апелляционного суда от 07.12.2021 оставил без изменения. В кассационной жалобе Громов И.В. просит об отмене судебных актов, ссылаясь на несоответствие выводов судов о проведении им зачета между кредиторами и должником фактическим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причитающиеся подконтрольному должнику обществу дивиденды распределены в бытность Громовым И.В. финансовым управляющим среди аффилированных с ним кредиторов. Такие действия признаны не соответствующими статьям 20, 20.2, 20.3, 53.1, 213.9, 213.25 Федерального закона от 26.10.2002 № 127-ФЗ «О несостоятельности (банкротстве)» Основанные на неправильном применении статьи 410 Гражданского кодекса Российской Федерации и ее судебном толковании доводы жалобы не имеют отношения к установленным обстоятельствам спора.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Громову И.В.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