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27.07.2021, оставленным без изменения постановлением Девятого арбитражного апелляционного суда от 12.10.2021 и постановлением Арбитражного суда Московского округа от 13.01.2022, в удовлетворении заявления отказано. В кассационной жалобе общество просит об отмене судебных актов, ссылаясь на несоответствие выводов судов об аффилированности должника и кредитора фактическим обстоятельствам спора и ненадлежащую оценку представленных в подтверждение наличия задолженности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задолженность не отвечающей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в качестве требования к находящемуся в банкротстве должнику.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«Независимость»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