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Белгородской области от 23.08.2021, оставленным без изменения постановлением Девятнадцатого арбитражного апелляционного суда от 29.11.2021 и постановлением Арбитражного суда Центрального округа от 18.02.2022, в удовлетворении заявления отказано. В кассационной жалобе ФИО2 просит об отмене судебных актов, ссылаясь на ненадлежащие исследование и оценку доказательств его финансовой состоятельности.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Представленные доказательства возникновения заемных обязательств признаны судами не отвечающими критериям статей 71, 100 Федерального закона от 26.10.2002 № 127-ФЗ «О несостоятельности (банкротстве)» и пункту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для установления основанного на них требования к находящемуся в банкротстве должнику. Приведенные в жалобе доводы рассмотрены и учтены судами и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