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10.03.2021, оставленным без изменения постановлением Восемнадцатого арбитражного апелляционного суда от 30.08.2021 и постановлением Арбитражного суда Уральского округа от 28.12.2021, ФИО2 признана банкротом, введена процедура реализации имущества гражданина, утвержден финансовый управляющий, требования акционерного общества «Российский Сельскохозяйственный банк» включены в третью очередь реестра как обеспеченные залогом имущества. В кассационной жалобе ФИО2 просит об отмене судебных актов, ссылаясь на прекращение залога, несоразмерность неустойки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 о банкротстве должника и подлежащей включению в реестр задолженности основаны на неисполненном судебном акте, статьях 213.3, 213.5, 213.6, 213.24, 213.25 Федерального закона от 26.10.2002 № 127-ФЗ «О несостоятельности (банкротстве)». Изложенный в жалобе довод о прекращении залога рассмотрен судами, установившими на основании материалов истребованного исполнительного производства недоведение до залогового кредитора информации о повторных торгах и предложения об оставлении за собой имущества и признавшими в связи с этим сохранение залога. Вопрос о соразмерности неустойки обсужден судами и разрешен в пределах компетенции.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