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модернизации и развития жилищно-коммунального хозяйства муниципальных образований Новосибирской области (далее – Фонд) обратился в Арбитражный суд Новосибирской области с иском, уточненным на основании статьи 49 Арбитражного процессуального кодекса Российской Федерации (далее – АПК РФ), к обществу с ограниченной ответственностью «Эксперт 01» (далее – Общество), Ассоциации профессиональных строителей Сибири (далее – Ассоциация) о взыскании 46 123 рублей 20 копеек.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Управляющая организация «ЖилКом» (далее – Компания). Решением Арбитражного суда Новосибирской области от 02.09.2021, оставленным без изменения постановлением Седьмого арбитражного апелляционного суда от 24.11.2021 и постановлением Арбитражного суда Западно-Сибирского округа от 02.03.2022, требования удовлетворены. Суд взыскал с Общества, а при недостаточности денежных средств субсидиарно с Ассоциации в пользу Фонда 46 123 рубля 20 копеек.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является ненадлежащим ответчиком, поскольку, исходя из положений части 6 статьи 60.1 Градостроительного кодекса Российской Федерации (далее – Градостроительный кодекс), исполнение гарантийных обязательств по договору строительного подряда осуществляется саморегулируемой организацией (далее – СРО) только при условии ликвидации юридического лица – члена СРО.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18.05.2018 между Фондом и Обществом (подрядчик) заключен договор № РТС254А180235(Д) на выполнение работ по капитальному ремонту общего имущества многоквартирных домов Новосибирской области (далее – договор). Одним из видов работ по договору являлся капитальный ремонт подвальных помещений, относящихся к общему имуществу в многоквартирном доме по адресу: &lt;...&gt;. Как указывает истец, в пределах гарантийного срока 18.06.2020 в адрес Фонда обратилась Компания, которая в письме от 17.06.2020 сообщила, что в процессе эксплуатации в многоквартирном доме по адресу: &lt;...&gt; по всей площади отмостки, отремонтированной по договору, наблюдаются трещины, в отдельных местах отмостка просела. На основании поступившего обращения в порядке, установленном разделом 7 договора, произведены осмотры объекта, по результатам которых составлены акт от 09.07.2020, рекламационный акт от 26.08.2020. На основании указанных актов осмотра истцом составлены ведомость объемов работ, локальный сметный расчет, в соответствии с которыми стоимость устранения недостатков некачественно выполненных работ составляет 87 331 рубль 64 копейки. Обществу направлялись требования об устранении выявленных дефектов в рамках гарантийных обязательств (письма от 30.07.2020, от 28.08.2020), однако, выявленные дефекты подрядчиком не устранены. Фонд 09.12.2020 направил в адрес Общества претензию с требованием произвести возврат оплаты некачественно выполненных работ в сумме 87 331 рубль 64 копейки. Оставление претензии без удовлетворения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судебной экспертизы, руководствуясь статьями 15 , 393 , 399 , 721 , 722 , 724 , 740 , 755 Гражданского кодекса Российской Федерации, статьями 55.4 , 55.16 , 60.1 Градостроительного кодекса , статьями 3, 13 Федерального закона от 01.12.2007 № 315-ФЗ «О саморегулируемых организациях», суды удовлетворили заявленные требования, исходя из доказанности факта ненадлежащего исполнения ООО «Эксперт 01» по договору своих обязательств, некачественного выполнения работ, которое повлекло возникновение у истца убытков; наличия совокупности условий для взыскания убытков, привлечения Ассоциации ПСС к субсидиарной ответственности. Установив, что на момент причинения ущерба Общество являлось членом Ассоциации, в которой создан компенсационный фонд обеспечения договорных обязательств, суды пришли к выводу о субсидиарной ответственности последнего по обязательствам подрядчика, исполненным ненадлежащим образом. Ссылка заявителя на часть 6 статьи 60.1 Градостроительного кодекса отклонена судами ввиду неправильного толкования норм материального права.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профессиональных строителей Сибири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