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Хакассия от 09.09.2021 в удовлетворении заявления отказано. Третий арбитражный апелляционный суд постановлением от 16.11.2021, отменив определение от 09.09.2021, включил в третью очередь реестра как обеспеченное залогом имущества требование в размере 2 793 885 рублей 83 копеек основного долга и отдельно неустойки. Арбитражный суд Восточно-Сибирского округа постановлением от 24.02.2022 отменил постановление Третьего арбитражного апелляционного суда от 16.11.2021 и оставил в силе определение от 09.09.2021. В кассационной жалобе ФИО2 просит об отмене определения и постановления окружного суда как нарушающих судебную практику.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Повторное обращение кредитора с требованиями, существовавшими наряду с теми, о которых ранее подавалось заявление, удовлетворенное судом, признано не подлежащим судебной защите в соответствии с судебной практикой.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