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27.07.2021 заявленное требование удовлетворено. Постановлением Восьмого арбитражного апелляционного суда от 27.09.2021 решение суда отменено, в удовлетворении заявленного требования отказано. Арбитражный суд Западно-Сибирского округа постановлением от 17.01.2022 оставил без изменения постановление суда апелляционной инстанции. ФИО1 обратилась в Верховный Суд Российской Федерации с кассационной жалобой, в которой просит отменить указанные судебные акты, ссылаясь на нарушения норм материального права. По смыслу положений части 1 статьи 2911, части 7 статьи 2916, статьи 29111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обстоятельств по доводам жалобы не установлено. Поскольку, в том числе в настоящее время, срок давности привлечения общества к административной ответственности за вмененное правонарушение истек, а после истечения указанного срока привлечение к административной ответственности является недопустимым, изложенные в жалобе доводы не могут служить достаточным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производства, поэтому передача кассационной жалобы в любом случае не приведет к восстановлению нарушенных прав и законных интересов ФИО1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Центральный банк Российской Федерации (подробнее) Иные лица: 8ААС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