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23.06.2021, оставленным без изменения постановлением Седьмого арбитражного апелляционного суда от 29.09.2021, в удовлетворении требования отказано. Постановлением Арбитражного суда Западно-Сибирского округа от 17.01.2022 указанные судебные акты оставлены без изменения. Общество в кассационной жалобе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2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Оценив представленные доказательства, руководствуясь статьями 161 , 162 Жилищного кодекса Российской Федерации, Положением о лицензировании предпринимательской деятельности по управлению многоквартирными домами, утвержденным постановлением Правительства Российской Федерации от 28.10.2014 № 1110, суды отказали в удовлетворении требования, признав, что при наличии действующего решения общего собрания собственников помещений общество неправомерно производило начисление платы за содержание жилого помещения собственнику квартиры исходя из утвержденного органом местного самоуправления тарифа.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При установленных судами обстоятельствах, связанных с наличием решения собственников о сохранении ранее принятого тарифа, доводы жалобы не соответствуют правовой позиции, изложенной в пунктах 15 – 17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Доказательств, свидетельствующих о том, что собственники утвердили экономически не обоснованный размер соответствующей платы, также не представлено, судами таких обстоятельств не установлено.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