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«Софтэксперт» обратилось в Арбитражный суд города Москвы с иском к ООО «Савелкинский проезд, д. 4» об установлении условий договора на предоставление эксплуатационных и коммунальных услуг от 30.11.2020 № 193-ЭКУ-2020 в редакции протокола разногласий от 30.12.2020; установлении условий дополнительного соглашения № 1 к договору на предоставление эксплуатационных и коммунальных услуг от 30.11.2020 № 193-ЭКУ-2020 в редакции протокола разногласий от 30.12.2020; установлении условий договора на предоставление эксплуатационных и коммунальных услуг от 30.11.2020 № 194-ЭКУ-2020 в редакции протокола разногласий от 30.12.2020; установлении условий дополнительного соглашения № 1 к договору на предоставление эксплуатационных и коммунальных услуг от 30.11.2020 № 194-ЭКУ-2020 в редакции протокола разногласий от 30.12.2020. Решением Арбитражного суда города Москвы от 20.08.2021, оставленным без изменения постановлением Девятого арбитражного апелляционного суда от 21.10.2021 и постановлением Арбитражного суда Московского округа от 27.01.2022,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вывод о том, что управляющая компания не обязана заключать с собственником договор управления, ошибочен; решения собраний, оформленные протоколами от 17.09.2019 № 3 и от 26.10.2020 № 4, ничтожны.Ответчиком не была представлена форма утвержденного договора управления.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истец является собственником нежилых помещений, расположенных по адресу: г. Москва, &lt;...&gt;.: кадастровый номер 77:10:0004006:1606 общей площадью 51,6 кв. м; кадастровый номер 77:10:0004006:1608 общей площадью 37,8 кв. м; кадастровый номер 77:10:0004006:1614 общей площадью 19,3 кв. м; кадастровый номер 77:10:0004006:1615 общей площадью 19,1 кв. м. Также истец является владельцем на основании договора аренды нежилого помещения условный номер 3292350 общей площадью 41,8 кв. м, принадлежащего на праве собственности третьему лицу - ФИО1 В декабре 2020 года от ответчика в адрес истца поступили проекты договоров на предоставление эксплуатационных и коммунальных услуг от 30.11.2020 № 193-ЭКУ-2020 и от 30.11.2020 № 194-ЭКУ-2020. Направление данных договоров ответчик мотивировал тем, что решением общего собрания собственников помещений в здании он выбран управляющей компанией здания, в связи с чем предлагает заключить договоры. Истец оформил со своей стороны указанные договоры с протоколами разногласий и направил их ответчику письмами от 12.01.2021 № 7, 8. Письмом от 14.01.2021 ответчик отказался подписывать договоры с редакции протоколов разногласий к ним, мотивировав это тем, что форма договора утверждена решением общего собрания собственников помещений в здании. В обоснование заявленных требований истец указал, что условия договора, предложенные ответчиком не соответствуют действующему законодательству. Исследовав и оценив по правилам статьи 71 АПК РФ представленные доказательства, руководствуясь статьями 181.1 , 210 , 249 , 289 , 290 , 421 , 425 , 426 , 445 Гражданского кодекса Российской Федерации, статьями 39 , 46 , 161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отказали в удовлетворении требований, исходя из того что нормы действующего законодательства, регулирующие отношения между управляющей организацией и собственниками помещений, не предусматривают обязанности ответчика заключать договоры на предоставление коммунальных и эксплуатационных услуг на условиях собственника помещений, в силу чего оснований для понуждения к заключению названных договоров по форме истца не имеется. Судами установлено, что протоколом общего собрания собственников от 17.09.2019, которым утверждена форма договора на предоставление коммунальных и эксплуатационных услуг, согласованы также взносы на капитальный ремонт общего имущества здания. Оплачивая выставленные счета, истец своими конклюдентными действиями согласился с принятым решением общего собрания собственников, как в части оплаты взносов на капитальный ремонт здания, так и в части утверждения формы договора на предоставление коммунальных и эксплуатационных услуг. В случае несогласия с формой договора, утвержденной общим собранием собственников здания, истец не обязан заключать договор с управляющей организацией, также как и управляющая организация не обязана заключать договор на условиях истца. Однако, отсутствие заключенного договора не влияет на обязанность управляющей организации оказывать услуги истцу, также как и на обязанность истца участвовать в содержании принадлежащего ему общего имущества. Суды отклонили доводы истца о ничтожности решений собраний, оформленных протоколами № 3 от 17.09.2019 и № 4 от 26.10.2020, указав,что данные обстоятельства не были предметом исследования в суде первой инстанции. Порядок оспаривания общего собрания определен пунктом 5 статьи 181.4 Гражданского кодекса Российской Федерации, при это истцом не представлено доказательств оспаривания указанных решений общего собрания.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«Софтэксперт»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