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привлечено к участию в деле в качестве третьего лица, не заявляющего самостоятельных требований относительно предмета спора. Определением Арбитражного суда города Москвы от 21.06.2021 в удовлетворении ходатайства учреждения о вступлении в дело в качестве третьего лица, заявляющего самостоятельные требования относительно предмета спора, отказано. Решением Арбитражного суда города Москвы от 23.06.2021 в иске отказано. Постановлением Девятого арбитражного апелляционного суда от 31.08.2021 определение Арбитражного суда города Москвы от 21.06.2021 и решение Арбитражного суда города Москвы от 23.06.2021 оставлены без изменения. Постановлением Арбитражного суда Московского округа от 29.12.2021 вышеуказанные судебные акты оставлены без изменения. Учреждение просит отменить состоявшиеся по делу судебные акты, считая их незаконными и необоснованными.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382 , 384 , 388 , 448 Гражданского кодекса Российской Федерации,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суды в иске отказали, признав, что распоряжение предметом залога без согласия банка как залогодержателя само по себе не влечет последствия в виде признания соответствующей сделки недействительной. В удовлетворении ходатайства учреждения о вступлении в дело в качестве третьего лица, заявляющего самостоятельные требования относительно предмета спора, отказано.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не выявлено. Каким образом соглашение об уступке нарушает права учреждения, в жалобе не указано. При этом вступившими в законную силу судебными актами по другому делу заявление лица, получившего право требования задолженности по договору цессии, удовлетворено, наличие задолженности в спорном размере подтверждено. Как привлечение учреждения к участию в деле в статусе третьего лица, не заявляющего самостоятельных требований относительно предмета спора, ограничивало цель его участия в процессе, также не указано. При указанных обстоятельствах доводы жалобы не являются достаточным основанием для пересмотра судебных актов в кассационном порядке.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