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01.10.2021, оставленным без изменения постановлением Пятнадцатого арбитражного апелляционного суда от 10.12.2021, в удовлетворении заявления отказано. Постановлением Арбитражного суда Арбитражного суда Северо-Кавказского округа от 21.02.2022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 При этом суды исходили из того, что постановление административного органа было получено обществом 20.02.2020, в то время как с заявлением об оспаривании указанного постановления общество обратилось только 05.06.2021. Приводимые обществом причины несвоевременного обращения в суд с настоящим заявлением были рассмотрены судами и признаны неуважительными. При этом согласно правовой позиции, высказанной в определении Конституционного Суда Российской Федерации от 18.11.2004 № 367-О,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