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16.07.2021, оставленным без изменения постановлением Восемнадцатого арбитражного апелляционного суда от 29.09.2021, в удовлетворении заявленных требований отказано. Постановлением Арбитражного суда Уральского округа от 14.01.2022 указанные судебные акты отменены, дело направлено на новое рассмотрение в арбитражный суд первой инстанции. Фонд и учреждение обратились в Верховный Суд Российской Федерации с кассационными жалобами, в которых просят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решение суда первой инстанции и постановление апелляционного суда,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исходил из необходимости рассмотреть спор с учетом позиций, изложенных в оспариваемом постановлении; установить обстоятельства дела, входящие в обязательный предмет доказывания по настоящему делу, как того требуют положения части 2 стать 65 Арбитражного процессуального кодекса Российской Федерации, а именно с учетом всех требований и возражений сторон, в соответствии с подлежащими применению нормами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Заявители в силу части 1 статьи 41 Арбитражного процессуального кодекса Российской Федерации не лишены возможности приводить свои доводы по всем возникающим в ходе рассмотрения дела вопросам, представлять доказательства, а также отстаивать свои позиции доступными процессуальными способами при новом рассмотрении спора. При указанных обстоятельствах доводы жалоб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