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11.06.2021, оставленным без изменения постановлением Девятого арбитражного апелляционного суда от 24.08.2021 и постановлением Арбитражного суда Московского округа от 09.12.2021,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заявителя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 допустило нарушение сроков выполнения работ по договору, не представило доказательств недействительности односторонних сделок, а также того, что действия фонда причиняют какие-либо убытки истцу или нарушают его законные права и интересы, руководствуясь статьями 166 , 450.1 , 702 , 715 Гражданского кодекса Российской Федерации, суды первой и апелляционной инстанций отказали в удовлетворении исковых требований, с чем впоследствии согласился суд округа. Изложенные в кассационной жалобе доводы не опровергают выводы судов с учетом установленных фактических обстоятельств дела, не подтверждают существенных нарушений норм материального права и норм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«РСК-Модуль»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