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26.04.2022 с ходатайством о восстановлении срока на обжалование. Податель жалобы указывает на отсутствие уважительной причины пропуска срока, ходатайствуя о его восстановлении в целях избежания негативных последствий в связи с незаконностью судебных актов. Восстановление срока на обжалование в отсутствие независящей от подателя жалобы причины противоречит части 2 статьи 291.2 Арбитражного процессуального кодекса Российской Федерации. В связи с подачей документов в электронном виде кассационная жалоба и уплаченная за ее подачу государственная пошлина с настоящим определением не возвращаются.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«СинараПромТранс» в восстановлении срока подачи кассационной жалобы на решение Арбитражного суда Волгоградской области от 10.06.2021, постановление Двенадцатого арбитражного апелляционного суда от 08.09.2021 и постановление Арбитражного суда Поволжского округа от 26.01.2022 по делу № А12-1540/2021.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ОАО "Российские железные дороги" (подробнее) Ответчики: ООО "Синарапромтранс"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