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22.09.2021, оставленным без изменения постановлением Семнадцатого арбитражного апелляционного суда от 25.11.2021 и постановлением Арбитражного суда Уральского округа от 25.01.2022, заявление удовлетворено. В кассационной жалобе ФИО2 просит о пересмотре судебных актов, ссылаясь на неправильную оценку обстоятельств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изменение статуса имущества, приобретенного должником и его супругой в период брака, с целью вывода из под взыскания по имеющимся и неисполняемым обязательствам должника в качестве условий для признания такого изменения недействительным в силу пункта 2 статьи 61.2 Федерального закона от 26.10.2002 № 127-ФЗ «О несостоятельности (банкротстве)». Приведенные в жалобе доводы рассмотрены и учтены судами и не создают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