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ФИО1) обратился в Арбитражный суд города Москвы с иском к обществу с ограниченной ответственностью «Хром» (далее – Общество) о взыскании 22 028 462 рублей процентов за пользование займом и 410 744 рублей пени за просрочку уплаты процентов. К участию в деле в качестве третьих лиц, не заявляющих самостоятельных требований относительно предмета спора, привлечены Росфинмониторинг, Инспекция Федеральной налоговой службы № 31 по городу Москве. Решением Арбитражного суда города Москвы от 09.07.2021, оставленным без изменения постановлением Девятого арбитражного апелляционного суда от 29.09.2021 и постановлением Арбитражного суда Московского округа от 20.01.2022,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судами при разрешении настоящего спора должен был быть применен эстоппель, отмечая, что судебные акты по делу № А40-5825/2017 не имеют преюдициального значения.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ФИО1 (займодавец) и Обществом (заемщик) заключен договор займа от 23.05.2014 № 03-Х (с учетом дополнительных соглашений; далее - договор займа), согласно условиям которого заимодавец передает 120 000 000 рублей, а заемщик обязуется возвратить полученные денежные суммы до 31.12.2020. Ссылаясь на наличие задолженности, ФИО1 обратился в арбитражный суд с соответствующими требованиями. Исследовав и оценив по правилам статьи 71 АПК РФ представленные доказательства, приняв во внимание обстоятельства, установленные при рассмотрении дел № А40-5825/2017, № А40-5825/2017 руководствуясь статьями 10 , 166 , 168 , 170 Гражданского кодекса Российской Федерации, разъяснениями, изложенными в пункте 87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информационном письме Президиума Высшего Арбитражного Суда Российской Федерации от 25.11.2008 № 127 «Обзор практики применения арбитражными судами статьи 10 Гражданского кодекса Российской Федерации», суды отказали в удовлетворении требований, установив, что реальной целью заключения договора займа было уклонение участниками спорных правоотношений от несения налогового бремени, сделка между истцом и ответчиком, являвшимися аффилированными лицами, совершалась для выплаты дивидендов генеральному директору ООО «Хром» ФИО2 и финансовому директору ООО «Хром» ФИО3, которые не будут облагаться налогом.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