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04.10.2021, оставленным без изменения постановлением Семнадцатого арбитражного апелляционного суда от 27.12.2021 и постановлением Арбитражного суда Уральского округа от 28.02.2022, в удовлетворении заявления отказано. В кассационной жалобе Мартиросян М.Р.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Установив, что оспариваемая сделка признана в качестве основания для взыскания с должника в пользу кредитора спорной суммы в деле № А50-10465/2015 и для установления требования в реестре должника в рамках дела о банкротстве, суды констатировали отсутствие условий для недействительности сделки в силу статей 10, 168, 170 Гражданского кодекса Российской Федерации и статьи 69 Арбитражного процессуального кодекса Российской Федерации. Приведенная в жалобе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Мартиросяну М.Р.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