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22.04.2022 с ходатайством о восстановлении срока. Общество просит восстановить срок на обжалование, указывая на устранение недостатка в оформлении кассационной жалобы – приложение документа об уплате государственной пошлины, отсутствующего при первоначальной возвращенной Судом жалобе. К данной жалобе приложен чек-ордер от 21.04.2022, указывающий на уплату государственной пошлины по истечении срока на кассационное обжалование.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Соблюдение установленных требований к подаче кассационной жалобы возложено на подателя и они не исполнены обществом своевременно без объективных причин. В такой ситуации основания для восстановления срока не имеется.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«Марио Групп» в восстановлении срока подачи кассационной жалобы на решение Арбитражного суда Свердловской области от 26.05.2021, постановление Семнадцатого арбитражного апелляционного суда от 09.09.2021 и постановление Арбитражного суда Уральского округа от 19.01.2022 по делу № А60-62327/2020. Кассационную жалобу не рассматривать по существу.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