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06.05.2021, оставленным без изменения постановлением Шестого арбитражного апелляционного суда от 31.08.2021 и постановлением Арбитражного суда Дальневосточного округа от 21.01.2022, иск удовлетворен.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принять по делу новый судебный акт об отказе в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установив, что общество перечислило на расчетный счет предпринимателя спорные денежные средства с назначением платежа «заемные денежные средства по договору беспроцентного займа б/н»; соответствующий договор займа сторонами заключен не был; какое-либо встречное предоставление со стороны предпринимателя обществу на указанную сумму не осуществлено; наличие иных обязательственных правоотношений между сторонами, в соответствии с условиями которых общество должно было перечислить предпринимателю денежные средства, не подтверждено, руководствуясь статьей 1102 Гражданского кодекса Российской Федерации, суды первой и апелляционной инстанций пришли к выводу о возникновении на стороне предпринимателя неосновательного обогащения, в связи с чем удовлетворили заявленные требования.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"Газкомфорт" (подробнее) Ответчики: ИП Анчиков Григорий Львович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