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26.07.2021, оставленным без изменения постановлением Десятого арбитражного апелляционного суда от 12.10.2021 и постановлением Арбитражного суда Московского округа от 08.02.2022, в удовлетворении исковых требований отказано. В кассационной жалобе, поданной в Верховный Суд Российской Федерации, общество просит отменить указанные судебные акты как принятые с нарушением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отказывая в удовлетворении исковых требований, суды первой и апелляционной инстанций руководствовались статьями 195 , 196 , 200 , 1102 Гражданского кодекса Российской Федерации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исходили из недоказанности истцом неосновательного обогащения на стороне ответчика, а также пропуска истцом срока исковой давности по части требований. Суд округа поддержал выводы судов первой и апелляционной инстанций.Доводы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«149-УНР»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 Суд: Верховный Суд РФ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