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Тверской области от 21.07.2021 в удовлетворении иска отказано. Дополнительным решением Арбитражного суда Тверской области от 29.07.2021 с общества в пользу компании взыскано 120 000 руб. в возмещение судебных расходов на оплату экспертизы. Четырнадцатый арбитражный апелляционный суд постановлением от 07.10.2021 оставил без изменения решение и дополнительное решение суда первой инстанции. Постановлением Арбитражного суда Северо-Западного округа от 13.01.2022 указанные судебные акты оставлены без изменения. В кассационной жалобе, поданной в Верховный Суд Российской Федерации, организация ссылается на нарушение судами норм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Разрешая спор и отказывая в иске, суды первой и апелляционной инстанций, с которыми впоследствии согласился суд округа, руководствовались статьями 15 , 393 ,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 исходили из недоказанности истцом совокупности условий, необходимых для возложения на ответчика обязанности по возмещению убытков в заявленной сумме.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«Тверь Камаз Центр»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