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города Москвы, рассмотрев дело в порядке упрощенного производства, решением от 21.05.2021 иск удовлетворил. Постановлением Девятого арбитражного апелляционного суда от 13.08.2021 решение суда первой инстанции оставлено без изменения. Арбитражный суд Московского округа постановлением от 01.11.2021 отменил решение суда первой инстанции, постановление суда апелляционной инстанции и отказал в удовлетворении иска. В кассационной жалобе, поданной в Верховный Суд Российской Федерации, общество, ссылаясь на нарушение судом норм права, просит отменить постановление от 01.11.2021 и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дела и доводов заявителя не установлено. Как следует из материалов дела и установлено судами, исковые требования общества (покупатель) мотивированы неисполнением компанией (поставщик) обязательств по поставке товара по договору от 12.01.2021 № 02/01-21 и возникновением на стороне последней неосновательного обогащения в виде полученных в качестве предварительной оплаты денежных средств. Удовлетворяя иск, суды первой и апелляционной инстанций пришли к выводу о наличии оснований для возврата уплаченной обществом предварительной оплаты. Руководствуясь статьей 1102 Гражданского кодекса Российской Федерации, суд округа с учетом обстоятельств, установленных при рассмотрении дела № А40-4307/2021, отменил решение суда первой инстанции, постановление суда апелляционной инстанции и отказал в удовлетворении иска, признав, что ответчик не является лицом, неосновательно обогатившимся за счет истца, поскольку договор банковского счета, на который были перечислены спорные денежные средства, ответчику не принадлежит, факт получения им денежных средств не доказан. При таких обстоятельствах, принимая во внимание, что вступившим в законную силу решением Арбитражного суда города Москвы от 11.01.2022 по делу № А40-191634/2021 договор расчетно-кассового обслуживания от 04.12.2020 между компанией и банком, на основании которого открыт спорный расчетный счет, признан недействительным; в ходе рассмотрения дела ответчик отрицал существование между ним и истцом каких-либо договорных отношений, суд округа пришел к правильному выводу об отсутствии оснований для удовлетворения иска. Доводы кассационной жалобы не подтверждают существенных нарушений судом норм материального и процессуального права, повлиявших на исход дела, и не являются достаточным основанием для пересмотра обжалуемого судебного акта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«СТРОЙТЕХНОЛОГИЯ»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 Суд: Верховный Суд РФ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