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«Тюменское экологическое объединение» обратилось в Арбитражный суд Тюменской области с иском к гаражному кооперативу «Ракета» (далее – кооператив) о взыскании 13 174 руб. 09 коп. долга, 97 руб. 08 коп. неустойки. Рассмотрев дело в порядке упрощенного производства, суд первой инстанции решением от 07.04.2021 иск удовлетворил. Кооператив обратился в Восьмой арбитражный апелляционный суд с апелляционной жалобой на указанное решение суда, заявив ходатайство о восстановлении пропущенного процессуального срока. Восьмой арбитражный апелляционный суд определением от 17.11.2021 возвратил апелляционную жалобу кооператива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Западно-Сибирского округа от 28.12.2021 определение апелляционного суда оставлено без изменения. В кассационной жалобе, поданной в Верховный Суд Российской Федерации, кооператив просит отменить определение суда апелляционной инстанции и постановление суда округа,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кооперативу апелляционную жалобу, суд апелляционной инстанции руководствовался статьями 117 , 123 , 229 , 264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кооператив, извещенный надлежащим образом о возбуждении производства по настоящему делу, не привел уважительных причин, объективно препятствующих подаче жалобы в установленный законом срок. Суд округа поддержал выводы апелляционного суда.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гаражного кооператива «Ракета»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