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предоставлении отсрочки уплаты государственной пошлины при ее подаче.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2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3 Поскольку в данном случае такие основания имеются, суд приходит к выводу о предоставлении заявителю отсрочки уплаты госпошлины. Руководствуясь статьями 102, 117, 184 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«Строительная компания Тракт»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города Москвы от 20.09.2021, постановление Девятого арбитражного апелляционного суда от 23.11.2021 и постановление Арбитражного суда Московского округа от 10.02.2022 по делу № А40-76280/2021. Предоставить обществу с ограниченной ответственностью «Строительная компания Тракт» отсрочку уплаты государственной пошлины до окончания производства по рассмотрению кассационной жалобы.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