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06.07.2021, оставленным без изменения постановлением Девятого арбитражного апелляционного суда от 17.09.2021 и постановлением Арбитражного суда Московского округа от 14.01.2022, с общества в пользу компании взыскано 176 991 руб. 96 коп. неустойки, в удовлетворении остальной части иска отказано. В кассационной жалобе, поданной в Верховный Суд Российской Федерации, общество, ссылаясь на нарушение судами норм права, несоответствие выводов судов фактическим обстоятельствам дела, просит отменить указанные судебные акты и направить дело на новое рассмотрение в соответствующий арбитражный суд.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ненадлежащего исполнения обществом (исполнитель) обязательств по договору, отсутствие вины компании (заказчик) в просрочке выполнения работ, руководствуясь статьями 309 , 310 , 329 , 330 , 401 , 405 , 406 , 702 , 758 , 762 Гражданского кодекса Российской Федерации,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первой и апелляционной инстанций признали правомерным начисление компанией неустойки. Исходя из несоразмерности заявленной неустойки последствиям нарушения обязательства, суды снизили ее размер на основании статьи 333 Гражданского кодекса Российской Федерации с учетом ходатайства общества и частично удовлетворили исковые требования. Суд округа поддержал выводы судов первой и апелляционной инстанций.Доводы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«АЛЬЦИОНА-С»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Судьи дела: Чучунова Н.С. (судья) (подробнее) Судебная практика по: По договору подряда Судебная практика по применению норм ст. 702, 703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