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Иркутской области от 01.06.2021 (с учетом определения от 13.12.2021 об исправлении описок, опечаток и арифметических ошибок) с общества в пользу компании взыскано 760 500 руб. основного долга, 714 870 руб. неустойки, 26 447 руб. расходов по уплате государственной пошлины, 26 985 руб. судебных издержек, в удовлетворении остальной части требований отказано. Постановлением Четвертого арбитражного апелляционного суда от 27.08.2021 решение суда первой инстанции оставлено без изменения. Арбитражный суд Восточно-Сибирского округа постановлением от 20.01.2022 оставил без изменения решение суда первой инстанции и постановление суда апелляционной инстанции.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Арбитражный суд Иркутской области в ином составе судей.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Как следует из судебных актов, исковые требования компании (подрядчик) мотивированы ненадлежащим исполнением обществом (заказчик) обязательств по оплате работ, выполненных по договору от 28.04.2017 № РЖД/СХ-И-2.1. Разрешая спор, суды первой и апелляционной инстанций, руководствуясь статьями 195 , 196 , 200 , 307 , 309 , 310 , 329 , 330 , 331 , 431 , 424 , 431 , 432 , 702 , 708 , 709 , 711 , 720 , 758 , 760 , 762 Гражданского кодекса Российской Федерации, исследовав и оценив по правилам статьи 71 Арбитражного процессуального кодекса Российской Федерации представленные в материалы дела доказательства, исходили из установленных обстоятельств, свидетельствующих о доказанности факта наличия у общества задолженности и обязанности по ее оплате, а также неустойки. При этом суды отклонили заявление общества о пропуске срока исковой давности и не усмотрели оснований для применения статьи 333 Гражданского кодекса Российской Федерации. Суд округа поддержал выводы судов первой и апелляционной инстанций.Доводы кассационной жалобы не опровергают выводы судов,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они направлены на переоценку установленных фактических обстоятельств, что не входит в полномочия суда при кассационном производстве. Принимая во внимание изложенное,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«Эджайл Архитект»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Судьи дела: Чучунова Н.С. (судья) (подробнее) Судебная практика по: Признание договора незаключенным Судебная практика по применению нормы ст. 432 ГК РФ По договору подряда Судебная практика по применению норм ст. 702, 703 ГК РФ Исковая давность, по срокам давности Судебная практика по применению норм ст. 200, 202, 204, 205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