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14.06.2021, оставленным без изменения постановлением Пятнадцатого арбитражного апелляционного суда от 01.10.2021 и постановлением Арбитражного суда Северо-Кавказского округа от 13.01.2022,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администрацией принято решение о проведении аукциона по продаже земельных участков с кадастровыми номерами № 23:34:0203007:1278 и № 23:34:0901000:1267 и по результатам аукционов заключены договоры купли-продажи указанных земельных участков от 23.11.2020 и 24.11.2020 соответственно. В антимонопольный орган 11.11.2020 поступила жалоба ФИО1 на действия администрации при проведении аукциона. Решением управления от 01.12.2020 № 023/10/18.1-5676/2020 жалоба признана обоснованной, администрации выдано предписание от 01.12.2020 № 023/10/18.1-5676/2020 о совершении действий, направленных на устранение нарушений порядка проведения торгов. Не согласившись с решением управления, администрация обратилась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Земельного кодекса Российской Федерации, Федерального закона от 26.07.2002 № 135-ФЗ «О защите конкуренции», пришли к выводу о том, что оспариваемое решение соответствует положениям действующего законодательства и не нарушает права и законные интересы администрации, с чем согласился суд округа. Судебные инстанции установили, что предметом аукциона являлось право заключения договоров купли-продажи земельных участков, государственная собственность на которые не разграничена. При этом земельный участок по лоту № 1 с кадастровым номером 23:34:0203007:1278 имеет назначение общественное питание и включает в себя «Размещение объектов капитального строительства в целях устройства мест общественного питания (рестораны, кафе, столовые, закусочные, бары)», участок по лоту № 2 с кадастровым номером 23:34:0901000:1267 имеет назначение производственная деятельность (код 6,0) и включает в себя «Размещение объектов капитального строительства в целях добычи полезных ископаемых, их переработки, изготовления вещей промышленным способом». Указанные виды разрешенного использования предусматривают строительство зданий и сооружений, в связи с чем земельные участки не могут передаваться по договору купли-продажи без предварительной передачи в аренду земельного участка. Установив указанные обстоятельства, суды пришли к выводу о наличии в действиях организатора аукциона нарушения части 2 статьи 39.1 Земельного кодекса. Оставляя судебные акты без изменения, суд округа отметил, что выводы судов об отсутствии оснований у антимонопольного органа для возврата жалобы ФИО1 являются ошибочными, однако не привели к принятию неправильного решения по существу спора. Доводы администрации, изложенные в кассационной жалобе, не подтверждают существенных нарушений норм материального и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Успенский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