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закрытое акционерное общество «ИТОН», общества с ограниченной ответственностью «Торговый Дом «Солнечные Продукты», «ЯМАЛ-ЛТД» и «СМС Технологии» обратились в суд с жалобами на действия (бездействие) конкурсного управляющего должником – государственной корпорации «Агентство по страхованию вкладов» (далее – корпорация), взыскании с него убытков и отстранении от исполнения возложенных на него обязанностей, объединёнными в одно производство для совместного рассмотрения. Определением Арбитражного суда Саратовской области от 30.08.2021, оставленным без изменения постановлениями Двенадцатого арбитражного апелляционного суда от 03.12.2021 и Арбитражного суда Поволжского округа от 24.02.2022, в удовлетворении жалоб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189.77, 189.78 Федерального закона от 26.10.2002 № 127-ФЗ «О несостоятельности (банкротстве)», исходили из недоказанности совокупности условий для удовлетворения жалоб конкурсных кредиторов на действия (бездействие) корпорации, взыскания с неё убытков, а также отстранения от исполнения возложенных на неё обязанностей конкурсного управляющего должником.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«СМС 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