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25.06.2021, оставленным без изменения постановлением Девятого арбитражного апелляционного суда от 20.09.2021 и постановлением Арбитражного суда Московского округа от 13.01.2022, в удовлетворении заявления отказано. В кассационной жалобе, поданной в Верховный Суд Российской Федерации, администрация, ссылаясь на существенное нарушение судами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17.02.2021 по результатам рассмотрения жалобы ООО «ГрейтСтрой» на действия заказчика (учреждения) при проведении открытого конкурса в электронной форме на проведение работ по строительству, реконструкции, капитальному ремонту, сносу объекта капитального строительства, предусматривающих проектную документацию или экономически эффективную проектную документацию повторного использования или смету на капитальный ремонт объекта капитального строительства, утвержденную в порядке, установленном законодательством о градостроительной деятельности на право заключения государственного контракта на выполнение работ по проекту развития централизованной системы водоотведения города Богородска и Богородского муниципального района Нижегородской области, комиссией по контролю в сфере закупок ФАС России принято решение по делу № 21/44/105/154 о признании жалобы обоснованной, в действиях заказчика установлены нарушения части 1, пункта 1 части 13, частей 23, 24 статьи 34, части 6 статьи 110.2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действиях конкурсной комиссии установлены нарушения части 6 статьи 54.7 Закона о контрактной системе. Во исполнение принятого решения заказчику выдано предписание об устранении выявленных нарушений. Не согласившись с ненормативными правовыми актами управления, администрация обратилась в арбитражный суд. Отказывая в удовлетворении заявленных требований, суды первой и апелляционной инстанций, исследовав и оценив представленные в материалы дела доказательства, руководствуясь положениями Закона о контрактной системе, пришли к выводу о том, что решение и предписание антимонопольного органа соответствуют положениям действующего законодательства и не нарушают права и законные интересы администрации, с чем согласился суд округа. 3 Судебные инстанции исходили из того, что действия конкурсной комиссии, ненадлежащим образом осуществившей оценку заявок участников конкурса по показателям № 1, № 2 Критерия № 1 нарушают часть 6 статьи 54.7 Закона о контрактной системе.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в том числе о нерассмотрении судом первой инстанции ходатайства об отложении судебного разбирательства,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Богородского муниципального округа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