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15.04.2021, оставленным без изменения постановлением Тринадцатого арбитражного апелляционного суда от 05.10.2021 и постановлением Арбитражного суда Северо-Западного округа от 24.01.2022, в удовлетворении заявленных требований отказано. 2 В кассационных жалобах, поданных в Верховный Суд Российской Федерации, общества просят отменить судебные акты, ссылаясь на существенное нарушение норм права, и требования удовлетворить.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антимонопольный орган от Росфинмониторинга поступила информация о возможных нарушениях в действиях обществ требований законодательства о защите конкуренции при участии в открытых конкурсах на оказание услуг по физической охране образовательных учреждений Калининского района Санкт-Петербурга. По результатам рассмотрения материалов антимонопольного дела управлением вынесено решение, которым в действиях обществ установлено нарушение пункта 2 части 1 статьи 11 Федерального закона от 26.07.2006 № 135-ФЗ «О защите конкуренции» (далее - Закон о защите конкуренции), выразившееся в заключении запрещенного антимонопольным законодательством соглашения, приведшего к поддержанию цен на торгах при участии в открытых конкурсах. В целях устранения нарушения выдано предписание. Считая ненормативные акты антимонопольного органа незаконными, общества обратились с заявлениями в арбитражный суд. Оценив представленные в материалы дела доказательства, суды, руководствуясь положениями статей 4, 11 Закона о защите конкуренции, разъяснениями, изложенными в пунктах 20, 21, 24 постановления Пленума Верховного Суда Российской Федерации от 04.03.2021 № 2 «О некоторых вопросах, возникающих в связи с применением судами антимонопольного законодательства», пришли к выводу о законности решения и предписания управления ввиду наличия в действиях обществ вменяемых нарушений. Судебные инстанции установили, что последовательные действия хозяйствующих субъектов и их поведение свидетельствуют о намеренном совместном участии в торгах в целях получения экономической выгоды в виде заключения государственных контрактов при максимальном сохранении уровня начальной цены, предложенной заказчиком. В частности, общества 3 распределили между собой торги и определили для себя приемлемый процент снижения первоначальной цены в целях получения максимальной прибыли. При этом судами учтено малое снижение начальной максимальной цены контрактов, совместное участие обществ в закупочных процедурах, их финансовые связи, пересечение по штатному расписанию, наличие доверенностей на одних и тех же лиц, использование одной электронной почты и одного телефонного номера. Доводы, изложенные в кассационных жалобах, в том числе о соответствии действий заявителей требованиям законодательства о контрактной системе и недоказанности получения экономической выгоды по результатам торгов, являлись предметом рассмотрения судов и получили правовую оценку с учетом установленных обстоятельств дела. Приведенные доводы не подтверждают существенных нарушений норм материального и процессуального права, которые могли повлиять на исход дела, по существу, выражают несогласие с выводами судов по фактическим обстоятельствам спора и основаны на ином применении к ним положений законодательства, что в силу статьи 291.6 Арбитражного процессуального кодекса Российской Федерации не может служить достаточным основанием для передачи жалоб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«Охранная организация «Эверест-СП-Восток» и обществу с ограниченной ответственностью «Охранная организация «БалтОхранСоюз-СП»»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