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09.06.2021, оставленным без изменения постановлениями Девятого арбитражного апелляционного суда от 25.08.2021 и Арбитражного суда Московского округа от 26.01.2022, в удовлетворении заявленных требований отказано. 2 В жалобе общество ставит вопрос об отмене принятых по делу судебных актов, ссылаясь на нарушение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предпринимателя на действия общества при проведении закупки, выразившиеся в необоснованном установлении начальной максимальной цены договора с учетом налога на добавленную стоимость (далее - НДС) и без НДС, а также порядка оценки заявок путем приведения ценовых предложений участников закупки к единому налоговому базису, антимонопольным органом принято решение. Управлением жалоба предпринимателя признана обоснованной, общество - нарушившим пункт 2 части 1 статьи 3 Федерального закона от 18.07.2011 № 223-ФЗ «О закупках товаров, работ, услуг отдельными видами юридических лиц» (далее – Закон о закупках). Предписанием управление на общество возложена обязанность устранить допущенные нарушения. Считая ненормативные правовые акты антимонопольного органа недействительными, общество обратилось в арбитражный суд.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Закона о закупках, суды пришли к выводу о соответствии решения и предписания антимонопольного органа требованиям действующего законодательства. При этом судебные инстанции исходили из того, что наличие в закупочной документации нескольких значений начальной (максимальной) цены договора 3 (цены лота) не соответствует положениям Закона о закупках и может привести к неоднозначному толкованию таких положений участниками закупки и необъективной оценке своих возможностей при определении в заявке ценового предложения такого участника; предложенный обществом порядок оценки и сопоставления заявок участников закупки, применяющих разные режимы налогообложения, свидетельствует о предоставлении преимуществ при участии в закупке участникам - плательщикам НДС по сравнению с участниками - не плательщиками НДС. Доводы жалобы основаны на неверном толковании положений законодательства, не опровергают выводы судов, не подтверждают существенных нарушений судами норм материального и (или) процессуального права и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«Русатом Инфраструктурные решения»в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