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08.09.2021, оставленным без изменения постановлениями Третьего арбитражного апелляционного суда от 19.11.2021 и Восточно-Сибирского округа от 07.02.2022, в удовлетворении заявления отказано. 2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объекта защиты, используемого обществом на основании договоров аренды, заключенных с заводом, управлением выявлены нарушения обязательных требований пожарной безопасности (ряд эксплуатируемых помещений не оборудованы системой автоматической пожарной сигнализации), в связи с чем обществу выдано предписание об устранении выявленных нарушений. Не согласившись с ненормативным правовым актом управления в части пунктов 1-4, 6, общество обратилось в арбитражный суд с заявлением о признании его недействительным. Исследовав обстоятельства дела и оценив имеющиеся доказательства,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Правилами противопожарного режима в Российской Федерации, утвержденными постановлением Правительства Российской Федерации от 25.04.2012 № 390, Нормами пожарной безопасности «Перечень зданий, сооружений, помещений и оборудования, подлежащих защите автоматическими установками пожаротушения и автоматической пожарной сигнализацией» (НПБ 110-03), утвержденными приказом Министерства Российской Федерации по делам гражданской обороны, чрезвычайным ситуациям и ликвидации последствий стихийных бедствий от 18.06.2003 № 315, Сводом правил СП 5.13130.2009 «Системы противопожарной защиты. Установки пожарной сигнализации и пожаротушения автоматические. Нормы и правила проектирования»,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от 25.03.2009 № 175, суды пришли к выводу о 3 соответствии оспариваемых пунктов предписания действующему законодательству. Судебные инстанции исходили из того, что спорные помещения подлежат оснащению системой автоматической пожарной сигнализации; ответственность за нарушения обязательных требований пожарной безопасности правомерно возложена на общество. При исследовании обстоятельств дела установлено, что общество (арендатор) заключило договор аренды на согласованных условиях и приняло в аренду имущество без системы автоматической пожарной сигнализации; согласно условий договора арендатор обязан соблюдать требования правил пожарной безопасности, а также содержать в исправном состоянии системы автоматической пожарной сигнализации и автоматического пожаротушения; имущество принято заявителем на основании акта приема-передачи при отсутствии претензий с его стороны, в связи с чем общество подтвердило принятие на себя обязанности по выполнению требований пожарной безопасности. Доводы жалобы о том, что оборудование спорных помещений автоматическими установками пожарной сигнализации является обязанностью собственника, а не арендатора,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«Хакасские коммунальные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