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16.06.2021, оставленным без изменения постановлением Девятого арбитражного апелляционного суда от 30.09.2021 и постановлением Арбитражного суда Московского округа от 07.02.2022, требования учреждения удовлетворены.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жалоба общества на действия (бездействие) заказчика при проведении электронного аукциона на оказание услуг по консультационному и техническому сопровождению, модернизации, адаптации и развитию автоматизированных систем на базе «1С: Предприятие 8» для нужд учреждения, выразившиеся в признании его уклонившимся от заключения контракта. Решением управления жалоба общества признана обоснованной, а учреждение нарушившим часть 10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По мнению антимонопольного органа, в направленном победителю электронного аукциона проекте контракта заказчиком указаны реквизиты, не соответствующие извещению о проведении закупки, что повлекло неверное перечисление обществом обеспечения исполнения контракта, необходимого для его заключения. В целях устранения нарушения выдано предписание. Считая ненормативные правовые акты управления незаконными, учреждение обратилось в арбитражный суд. Удовлетворяя заявленные требования, суды, оценив представленные в материалы дела доказательства, руководствуясь положениями статей 34, 42, 83.2, 94 Закона о контрактной системе, пунктами 145, 147 Порядка ведения лицевых счетов, открываемых в органах Федерального казначейства, утвержденного Приказом Казначейства России № 21н, пришли к выводу об отсутствии у антимонопольного органа правовых оснований для принятия решения и предписания ввиду правомерного признания учреждением победителя электронного аукциона уклонившимся от заключения контракта. 3 Судебные инстанции исходили из того, что направленный заказчиком обществу проект муниципального контракта полностью соответствует извещению и документации об электронном аукционе; все расчетные счета, указанные в аукционной документации и проекте муниципального контракта, являются действующими. При этом исполняя обязанность по перечислению обеспечения исполнения контракта на специальный счет заказчика, победитель электронного аукциона должен выполнять требования, установленные в извещении и документации об электронном аукционе, а не руководствоваться положениями не вступившего в силу проекта муниципального контракта. Вместе с тем победитель аукциона неоднократно неверно вносил денежные средства на лицевой счет заказчика, что не позволяет признать его действия добросовестными. Довод общества об отсутствии в судебном акте указания на обязанность антимонопольного органа совершить какие-либо действия в целях устранения допущенных нарушений прав и законных интересов учреждения не принимается в качестве основания для отмены судебных актов, поскольку данное обстоятельство не привело к принятию неправильных судебных актов по существу спора и не является безусловным основанием для их отмены. Кроме того, отсутствие такого указания не нарушает права и законные интересы общества, не являющегося заявителем по настоящему делу. Иные доводы, изложенные в кассационной жалобе, выражают несогласие с выводами судов по фактическим обстоятельствам спора, являлись предметом их рассмотрения и не свидетельствуют о существенном нарушении норм материального и норм процессуального права, повлиявших на исход дела.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«Политехно»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