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Тульской области (далее – уполномоченный орган) обратилась суд с заявлением о взыскании с арбитражного управляющего ФИО1 убытков в период исполнения ею обязанностей конкурсного управляющего должником в размере 5 655 645 рублей 60 копеек. Определением Арбитражного суда Тульской области от 24.08.2021, оставленным без изменения постановлениями Двадцатого арбитражного апелляционного суда от 16.11.2021 и Арбитражного суда Центрального округа от 07.02.2022,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20.4, 20.7 Федерального закона от 26.10.2002 № 127-ФЗ «О несостоятельности (банкротстве)», исходили из того, что недобросовестное и неразумное поведение арбитражного управляющего ФИО1 по работе с дебиторской задолженностью, а также необоснованное расходование денежных средств конкурсной массы на погашение требований ведущего бухгалтера и управляющего директора находились в прямой причинно-следственной связи с возникновением на стороне должника убытков, в связи с чем удовлетворили заявление.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союзу арбитражных управляющих «Саморегулируемая организация «Северная столица»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