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требования в общем размере 2 699 433 рубля 23 копейки. Определением Арбитражного суда города Москвы от 22.07.2021, оставленным без изменения постановлениями Девятого арбитражного апелляционного суда от 19.10.2021 и Арбитражного суда Московского округа от 17.01.2022, требование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в части определения очерёдности удовлетворения его требования и направить обособленный спор в данной части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установив обстоятельства предоставления аффилированным лицом компенсационного финансирования должнику в ситуации имущественного кризиса, субординировали требование. Выводы судов в обжалуемой части соответствуют нормам права, оснований для переоценки выводов судов по доводам жалобы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«Помощь»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