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контролирующих должника лиц – ФИО3 и ФИО1 к субсидиарной ответственности за невозможность полного погашения требований кредиторов, неподачу в суд с заявления о банкротстве должника. Определением Арбитражного суда Московской области от 09.06.2021 заявление удовлетворено, в части определения размера ответственности производство приостановлено до окончания расчетов с кредиторами. Постановлением Десятого арбитражного апелляционного суда от 24.08.2021 данное определение отменено, в удовлетворении заявления отказано. Постановлением Арбитражного суда Московского округа от 25.01.2022 отменено постановление апелляционного суда от 24.08.2021, определение суда первой инстанции от 09.06.2021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 в отношении привлечения его к субсидиарной ответственности, оставить в силе постановление апелляционного суда.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первой инстанции и округа, руководствуясь статьями 9, 10, 61.10, 61.11 Федерального закона от 26.10.2002 № 127-ФЗ «О несостоятельности (банкротстве)», исходили из доказанности совокупности условий для привлечения к субсидиарной ответственности заявителя, удовлетворившего во внеочередном порядке свои требования за счёт имущества неплатёжеспособного должника, а также не исполнившего обязанность по созыву заседания для принятия решения об обращении в суд с заявлением о банкротстве контролируемой организации.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