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26.05.2021, оставленным без изменения постановлением Девятого арбитражного апелляционного суда от 13.10.2021 и постановлением Арбитражного суда Московского округа от 03.02.2022, в удовлетворении заявленных требований отказано. В кассационной жалобе, поданной в Верховный Суд Российской Федерации, корпорация,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корпорацией проведен конкурс в электронной форме среди субъектов малого и среднего предпринимательства на оказание комплекса услуг по обработке, сканированию, подготовке документов в электронный архив и размещению электронного хранилища данных на ресурсах агентства, а также хранению документов на бумажном носителе. По результатам рассмотрения первых частей заявок общество признано единственным участником, в связи с чем конкурс признан несостоявшимся и корпорацией принято решение о проведении повторного конкурса. Полагая, что заказчику надлежало заключить договор с единственным участником, общество обратилось с жалобой в антимонопольный орган. Решением управления действия организатора торгов признаны нарушающими пункт 2 части 1 статьи 3, часть 15 статьи 3.2 Федерального закона от 18.07.2011 № 223-ФЗ «О закупках товаров, работ, услуг отдельными видами юридических лиц» (далее – Закон о закупках). В целях устранения нарушений выдано предписание. Считая ненормативные акты антимонопольного органа незаконными, корпорация обратилась в арбитражный суд. Оценив представленные в материалы дела доказательства, суды, руководствуясь положениями статей 447, 448 Гражданского кодекса Российской Федерации, статей 3, 3.2 Закона о закупках, пришли к выводу о наличии у управления правовых оснований для принятия решения и предписания, поскольку в отсутствие объективных обстоятельств отказ организатора торгов от заключения договора с единственным участником, чья заявка была допущена к конкурентной процедуре, не соответствует требованиям законодательства и нарушает баланс частных и публичных интересов. Судебные инстанции отметили, что утвержденное корпорацией положение о закупках не является единственным правовым актом, регламентирующим деятельность заказчиков, не может изменять правовое регулирование, установленное федеральным законодательством для проведения торгов, и должно применяться в той мере, в которой не противоречит нормам Гражданского кодекса Российской Федерации. 3 Доводы, изложенные в кассационной жалобе, повторяют позицию общества по спору, являлись предметом рассмотрения судов, получили правовую оценку и не подтверждают существенного нарушения норм материального и процессуального права, повлиявшего на исход дела. Приведенные доводы выражают несогласие с выводами судов ввиду иного (ошибочного) применения заявителем положений законодательства к установленным обстоятельствам спора, что не свидетельствует о допущенной при рассмотрении дела судебной ошибке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