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НК РФ.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НК РФ. В ходатайстве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2 государственную пошлину в установленном размере при подаче искового заявления (заявления), апелляционной или кассационной жалобы.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Обратившись с ходатайством об отсрочке уплаты государственной пошлины, заявитель не представил доказательств (подтвержденный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стороны), свидетельствующих о том, что его имущественное положение на момент подачи жалобы 15.04.2022 не позволяет уплатить при обращении с кассационной жалобой государственную пошлину в установленном размере. Представленные сведения о банковских счетах налогоплательщика по состоянию на 15.05.2020 не подтверждают имущественное положение заявителя на момент подачи жалобы.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«Фертус» в лице конкурсного управляющего Киселева Д.В. об отсрочке уплаты государственной пошлины за подачу кассационной жалобы. Возвратить кассационную жалобу обществу с ограниченной ответственностью «Фертус» в лице конкурсного управляющего Киселева Д.В. на решение Арбитражного суда города Москвы от 21.10.2021 по делу № А40-128607/2020, постановление Девятого арбитражного апелляционного суда от 23.12.2021 и постановление Арбитражного суда Московского округа от 04.04.2022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