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общества вышедший из состава его участников Бамгбала А.Р. обратился в суд с заявлением о включении в реестр требований кредиторов должника (далее – реестр) 58 872 185 рублей основного долга по выплате действительной стоимости доли и 14 842 179 рублей 34 копейки процентов за пользование чужими денежными средствами с удовлетворением за счёт имущества, оставшегося после удовлетворения требований реестровых кредиторов. Определением Арбитражного суда города Москвы от 31.05.2021 требование признано обоснованным, подлежащим удовлетворению после удовлетворения требований, включенных в реестр, до распределения ликвидационной квоты. Постановлением Девятого арбитражного апелляционного суда от 10.08.2021 данное определение изменено, требование в заявленном размере признано обоснованным и подлежащим удовлетворению в рамках распределения ликвидационной квоты. Постановлением Арбитражного суда Московского округа от 17.01.2022 принятые по спору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принять по делу новый судебный акт о признании заявленных требований обоснованными и подлежащими удовлетворении в очерёдности, предшествующей распределению ликвидационной квоты.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суд округа, руководствуясь статьёй 63 Гражданского кодекса Российской Федерации, статьями 2, 63, 103, 148 Федерального закона от 26.10.2002 № 127-ФЗ «О несостоятельности (банкротстве)», не установил правовых оснований для удовлетворения заявленных требований, носящих корпоративный характер и не способных конкурировать с требованиями иных независимых кредиторов, а также иметь преимущественное положение по отношению к действующим участникам должника.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и (или)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Бамгбала Адетунжи Рилван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