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«Диалог» (далее – общество) обратилось в суд с заявлением о включении в реестр требований кредиторов должника (далее – реестр) задолженности в размере 156 695 459 рублей 05 копеек. Определением Арбитражного суда города Москвы от 08.12.2020, оставленным без изменения постановлением Девятого арбитражного апелляционного суда от 15.02.2021, требование общества признано обоснованным и подлежащим удовлетворению в очерёдности, предшествующая распределению ликвидационной квоты. Постановлением Арбитражного суда Московского округа от 18.06.2021 отменены определение суда первой инстанции от 08.12.2020 и постановление апелляционного суда от 15.02.2021 в части определения очерёдности требований общества, в отменённой части обособленный спор направлен на новое рассмотрение в Арбитражный суд города Москвы. При новом рассмотрении обособленного спора в части определения очерёдности удовлетворения требований общества определением Арбитражного суда города Москвы от 24.09.2021, оставленным без изменения постановлениями Девятого арбитражного апелляционного суда от 07.12.2021 и 2 Арбитражного суда Московского округа от 14.02.2022, требование включено в третью очередь реестра.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в части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позицией, изложенной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от 29.01.2020, исходили из недоказанности оснований для субординации требований общества.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«Юджин – эстейт» Калашникову Олегу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