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в период с 06.07.2017 по 14.08.2018 с расчётного счёта должника на расчётный счёт индивидуального предпринимателя Курбанлы Э.Б. денежных средств на общую сумму 16 784 530 рублей 96 копеек с назначением платежа «за транспортные услуги по договору аренды транспортных средств с экипажем б/н от 01.06.2017» и применении последствий недействительности сделок. Определением Арбитражного суда Волгоградской области от 19.08.2021, оставленным без изменения постановлениями Двенадцатого арбитражного апелляционного суда от 25.11.2021 и постановлением Арбитражного суда Поволжского округа от 15.02.2022, заявление удовлетворено, применены последствия недействительности сделок в виде взыскания с Курбанлы Э.Б. в пользу должника 16 784 530 рублей 96 копеек. Не согласившись с вышеуказанными судебными актами Курбанлы Э.Б.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Курбанлы Эльвина Бахмановича о приостановлении исполнения определения Арбитражного суда Волгоградской области от 19.08.2021 по делу № А12-17356/2019, оставленного без изменения постановлением Двенадцатого арбитражного апелляционного суда от 25.11.2021 и постановлением Арбитражного суда Поволжского округа от 15.02.2022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