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«Даймонд Фудз» обратилось в Арбитражный суд города Москвы с иском о взыскании с общества с ограниченной ответственностью «Главная сцена» 1 013 222 рублей 23 копеек неустойки. Решением Арбитражного суда города Москвы от 17.03.2021, принятым в порядке упрощенного производства, в удовлетворении иска отказано.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Постановлением Девятого арбитражного апелляционного суда от 28.09.2021 решение суда первой инстанции отменено, иск удовлетворен. Арбитражный суд Московского округа постановлением от 24.01.2022 постановление апелляционного суда оставил без изменения. 2 Общество с ограниченной ответственностью «Главная сцена»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АПК РФ, установив, что соглашением о расторжении договора возмездного оказания услуг стороны согласовали график погашения задолженности и условие об отсутствии каких-либо взаимных претензий в отношении исполнения обязательств по договору, при этом ответственность заказчика в виде уплаты исполнителю неустойки за каждый день просрочки совершения платежа до даты расторжения договора оказания услуг стороны не исключили, руководствуясь статьями 421, 431, 453 Гражданского кодекса Российской Федерации, разъяснениями, данными в пункте 3 постановления Пленума Высшего Арбитражного Суда Российской Федерации от 06.06.2014 № 35 «О последствиях расторжения договора», суд апелляционной инстанции удовлетворил иск, не усмотрев оснований для применения статьи 333 Гражданского кодекса Российской Федерации. Проверив в порядке статей 286, 287 АПК РФ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«Главная сцена»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