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21.07.2021, оставленным без изменения постановлениями Девятого арбитражного апелляционного суда от 12.10.2021 и Арбитражного суда Московского округа от 08.02.2022, в удовлетворении иска отказано. В кассационной жалобе агентство ставит вопрос об отмене принятых по делу судебных актов, ссылаясь на нарушение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агентством (заказчик) и обществом (подрядчик) заключен государственный контракт на выполнение работ по строительству аэропорта. На предложение подрядчика об изменении промежуточных сроков работ и даты окончания работ по контракту заказчик не ответил. В обоснование иска общество указало, что ограничения, введенные в связи с угрозой распространения новой короновирусной инфекции, привели к невозможности поставщиков осуществить своевременную поставку товаров, необходимых для выполнения работ, что в свою очередь не позволило подрядчику выполнить работу в первоначально установленный срок. Исследовав и оценив представленные в материалы дела доказательства, руководствуясь положениями статей 450, 451 Гражданского кодекса Российской Федерации (далее - Гражданский кодекс),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суды не усмотрели оснований для удовлетворения иска. Судебные инстанции исходили из отсутствия доказательств того, что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Кроме того, суды указали, что подрядчик не мотивировал необходимость внесения изменения в контракт о продлении срока именно до 30.11.2021. Доводы агентства, изложенные в кассационной жалобе, о том, что продление срока государственного контракта на выполнение работ по строительству, реконструкции, капитальному ремонту, сносу объекта капитального строительства с учетом изменения условий его исполнения, в судебном порядке не запрещено и не противоречит действующему законодательству, являются несостоятельными в силу следующего. 3 В обоснование возможности продления срока выполнения работ, агентство ссылается на пункт 4 статьи 451 Гражданского кодекса, а также на пункт 9 части 1 статьи 95 Закона о контрактной системе, который был введен в действие Федеральным законом от 01.05.2019 №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При этом пункт 4 статьи 451 Гражданского кодекса является общей нормой и не учитывает специфику правоотношений, складывающихся при заключении государственных (муниципальных) контрактов, которые регулируются специальным законом. Согласно части 2 стати 34 Закона о контрактной системе при заключении и исполнении контракта изменение его условий не допускается, за исключением случаев, предусмотренных указанной статьей и статьей 95 того же Закона. На недопустимость изменения сторонами сроков выполнения работ по государственному (муниципальному) контракту, если иное не установлено законом и заключенным в соответствии с ним контрактом, что обеспечивает равенство участников размещения заказов и свободу конкуренции указано в пункте 9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Пунктом 9 части 1 статьи 95 Закона о контрактной системе предусмотрено, что изменение существенных условий контракта допустимо по соглашению сторон, в том числе в случае,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Таким образом, при соблюдении совокупности условий, установленных указанными нормами Закона о контрактной системе, существенные условия контракта, в том числе, срок исполнения контракта, могут быть изменены исключительно по соглашению сторон, однократно и по причине невозможности исполнения контракта по независящим от сторон контракта обстоятельствам, в том числе по причине необходимости внесения изменений в проектную документацию. Как установлено судами, сторонами не достигнуто такое соглашение, что не оспаривается и заявителем жалобы. При этом, действующее законодательство о контрактной системе не предусматривает право подрядчика требовать понуждения заказчика к изменению условий контракта в части сроков выполнения работ. 4 Принимая во внимание изложенное, доводы, приведенные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