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платежей на сумму 9 030 000 рублей как возврат займа (платёжный документ № 23), на сумму 2 084 307 рублей 32 копейки как возврат процентов (платёжный документ № 24) и на сумму 4 697 151 рубль 25 копеек как возврат пеней (платёжный документ № 25), совершенных с расчётного счёта должника в пользу общества с ограниченной ответственностью «Матрица СП» (далее – общество) по договору займа ДЗ-1 от 26.05.2016 и соглашению от 01.04.2018; применении последствий недействительности сделок. Определением Арбитражного суда города Москвы от 25.06.2021, оставленным без изменения постановлениями Девятого арбитражного апелляционного суда от 07.09.2021 и Арбитражного суда Московского округа от 14.12.2021,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пунктом 2 статьи 61.2 Федерального закона от 26.10.2002 № 127-ФЗ «О несостоятельности (банкротстве)» исходили из недоказанности совокупности условий для признания недействительными оспариваемых платежей по заявленным основаниям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«Кинком»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Последние документы по делу: Определение от 25 апреля 2022 г. по делу № А40-308776/2019 Определение от 7 апреля 2022 г. по делу № А40-308776/2019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