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«БилдБрокер» обратилось в Верховный Суд Российской Федерации с кассационной жалобой в электронном виде на определение Арбитражного суда города Москвы от 15.06.2021 и постановление Арбитражного суда Московского округа от 09.02.2022. До рассмотрения кассационной жалобы по существу от заявителя поступило ходатайство о возвращении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С учетом изложенного кассационная жалоба подлежит возвращению без рассмотрения по существу. Руководствуясь статьями 184, 185, пунктом 4 части 1 статьи 291.5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«БилдБрокер» о возвращении кассационной жалобы удовлетворить. Возвратить обществу с ограниченной ответственностью «БилдБрокер» кассационную жалобу на определение Арбитражного суда города Москвы от 15.06.2021 и постановление Арбитражного суда Московского округа от 09.02.2022 по делу № А40-189415/2019 о несостоятельности (банкротстве) Фесак Э.А.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